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E3" w:rsidRDefault="006B546C" w:rsidP="00725828">
      <w:pPr>
        <w:jc w:val="center"/>
      </w:pPr>
      <w:r w:rsidRPr="006B546C">
        <w:rPr>
          <w:noProof/>
        </w:rPr>
        <w:drawing>
          <wp:inline distT="0" distB="0" distL="0" distR="0" wp14:anchorId="670FD9D7" wp14:editId="6624F9AD">
            <wp:extent cx="2847975" cy="662520"/>
            <wp:effectExtent l="19050" t="0" r="9525" b="0"/>
            <wp:docPr id="4" name="Picture 1" descr="Legal-Aid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al-Aid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6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CED" w:rsidRDefault="00524CED" w:rsidP="00524CED">
      <w:pPr>
        <w:spacing w:after="160" w:line="259" w:lineRule="auto"/>
        <w:rPr>
          <w:rFonts w:eastAsia="Times New Roman" w:cs="Times New Roman"/>
          <w:sz w:val="22"/>
        </w:rPr>
      </w:pPr>
    </w:p>
    <w:p w:rsidR="00524CED" w:rsidRPr="00524CED" w:rsidRDefault="00524CED" w:rsidP="00524CED">
      <w:pPr>
        <w:spacing w:after="160" w:line="259" w:lineRule="auto"/>
        <w:rPr>
          <w:rFonts w:eastAsia="Times New Roman" w:cs="Times New Roman"/>
          <w:b/>
          <w:szCs w:val="24"/>
        </w:rPr>
      </w:pPr>
      <w:r w:rsidRPr="007C0D7C">
        <w:rPr>
          <w:rFonts w:eastAsia="Times New Roman" w:cs="Times New Roman"/>
          <w:b/>
          <w:szCs w:val="24"/>
        </w:rPr>
        <w:t xml:space="preserve">ARE YOU A VOLUNTEER WITH A TEEN CAP CLIENT? </w:t>
      </w:r>
      <w:proofErr w:type="gramStart"/>
      <w:r w:rsidRPr="007C0D7C">
        <w:rPr>
          <w:rFonts w:eastAsia="Times New Roman" w:cs="Times New Roman"/>
          <w:b/>
          <w:szCs w:val="24"/>
        </w:rPr>
        <w:t>HERE’S</w:t>
      </w:r>
      <w:proofErr w:type="gramEnd"/>
      <w:r w:rsidRPr="007C0D7C">
        <w:rPr>
          <w:rFonts w:eastAsia="Times New Roman" w:cs="Times New Roman"/>
          <w:b/>
          <w:szCs w:val="24"/>
        </w:rPr>
        <w:t xml:space="preserve"> WHAT YOU NEED TO KNOW:</w:t>
      </w:r>
    </w:p>
    <w:p w:rsidR="00524CED" w:rsidRPr="00524CED" w:rsidRDefault="00524CED" w:rsidP="00524CED">
      <w:pPr>
        <w:spacing w:after="160" w:line="259" w:lineRule="auto"/>
        <w:rPr>
          <w:rFonts w:eastAsia="Times New Roman" w:cs="Times New Roman"/>
          <w:szCs w:val="24"/>
        </w:rPr>
      </w:pPr>
      <w:r w:rsidRPr="007C0D7C">
        <w:rPr>
          <w:rFonts w:eastAsia="Times New Roman" w:cs="Times New Roman"/>
          <w:szCs w:val="24"/>
        </w:rPr>
        <w:t>THE DEPARTMENT OF FAMILY SERVICES HELPS YOUTH IN FOSTER CARE GET READY FOR ADULTHOOD THROUGH T</w:t>
      </w:r>
      <w:r w:rsidR="00997ACB" w:rsidRPr="007C0D7C">
        <w:rPr>
          <w:rFonts w:eastAsia="Times New Roman" w:cs="Times New Roman"/>
          <w:szCs w:val="24"/>
        </w:rPr>
        <w:t>HE INDEPENDE</w:t>
      </w:r>
      <w:r w:rsidRPr="007C0D7C">
        <w:rPr>
          <w:rFonts w:eastAsia="Times New Roman" w:cs="Times New Roman"/>
          <w:szCs w:val="24"/>
        </w:rPr>
        <w:t>NT LIVING PROGRAM:</w:t>
      </w:r>
    </w:p>
    <w:p w:rsidR="00524CED" w:rsidRPr="00524CED" w:rsidRDefault="00997ACB" w:rsidP="00997ACB">
      <w:pPr>
        <w:numPr>
          <w:ilvl w:val="0"/>
          <w:numId w:val="2"/>
        </w:numPr>
        <w:spacing w:after="160" w:line="259" w:lineRule="auto"/>
        <w:rPr>
          <w:rFonts w:eastAsia="Times New Roman" w:cs="Times New Roman"/>
          <w:szCs w:val="24"/>
        </w:rPr>
      </w:pPr>
      <w:r w:rsidRPr="007C0D7C">
        <w:rPr>
          <w:rFonts w:eastAsia="Times New Roman" w:cs="Times New Roman"/>
          <w:szCs w:val="24"/>
        </w:rPr>
        <w:t>The IL progra</w:t>
      </w:r>
      <w:r w:rsidR="00524CED" w:rsidRPr="00524CED">
        <w:rPr>
          <w:rFonts w:eastAsia="Times New Roman" w:cs="Times New Roman"/>
          <w:szCs w:val="24"/>
        </w:rPr>
        <w:t>m serves youth in care ages 14-18</w:t>
      </w:r>
      <w:r w:rsidRPr="007C0D7C">
        <w:rPr>
          <w:rFonts w:eastAsia="Times New Roman" w:cs="Times New Roman"/>
          <w:szCs w:val="24"/>
        </w:rPr>
        <w:t xml:space="preserve">.  </w:t>
      </w:r>
      <w:r w:rsidR="00524CED" w:rsidRPr="00524CED">
        <w:rPr>
          <w:rFonts w:eastAsia="Times New Roman" w:cs="Times New Roman"/>
          <w:szCs w:val="24"/>
        </w:rPr>
        <w:t xml:space="preserve">Each youth is assigned an IL worker who helps the youth develop an Independent Living Transitional Plan to prepare them for transitioning into adulthood.   </w:t>
      </w:r>
      <w:r w:rsidRPr="007C0D7C">
        <w:rPr>
          <w:rFonts w:eastAsia="Times New Roman" w:cs="Times New Roman"/>
          <w:szCs w:val="24"/>
        </w:rPr>
        <w:t xml:space="preserve">If you have a client who is 14 – 18, ask the caseworker for the name and phone number of the IL worker assigned to your client.  </w:t>
      </w:r>
      <w:r w:rsidRPr="0054209E">
        <w:rPr>
          <w:rFonts w:eastAsia="Times New Roman" w:cs="Times New Roman"/>
          <w:i/>
          <w:szCs w:val="24"/>
        </w:rPr>
        <w:t>Practice pointer</w:t>
      </w:r>
      <w:r w:rsidRPr="007C0D7C">
        <w:rPr>
          <w:rFonts w:eastAsia="Times New Roman" w:cs="Times New Roman"/>
          <w:szCs w:val="24"/>
        </w:rPr>
        <w:t xml:space="preserve">: </w:t>
      </w:r>
      <w:r w:rsidR="0091239C">
        <w:rPr>
          <w:rFonts w:eastAsia="Times New Roman" w:cs="Times New Roman"/>
          <w:szCs w:val="24"/>
        </w:rPr>
        <w:t xml:space="preserve">All youth, regardless of their permanency plan, are eligible for an IL worker once they reach 14 years of age.  </w:t>
      </w:r>
      <w:r w:rsidR="0054209E">
        <w:rPr>
          <w:rFonts w:eastAsia="Times New Roman" w:cs="Times New Roman"/>
          <w:szCs w:val="24"/>
        </w:rPr>
        <w:t>U</w:t>
      </w:r>
      <w:r w:rsidRPr="007C0D7C">
        <w:rPr>
          <w:rFonts w:eastAsia="Times New Roman" w:cs="Times New Roman"/>
          <w:szCs w:val="24"/>
        </w:rPr>
        <w:t>nder federal law, a youth may not have OPPLA, where the youth ages out of foster care,</w:t>
      </w:r>
      <w:r w:rsidR="0054209E">
        <w:rPr>
          <w:rFonts w:eastAsia="Times New Roman" w:cs="Times New Roman"/>
          <w:szCs w:val="24"/>
        </w:rPr>
        <w:t xml:space="preserve"> as a permanency plan</w:t>
      </w:r>
      <w:r w:rsidRPr="007C0D7C">
        <w:rPr>
          <w:rFonts w:eastAsia="Times New Roman" w:cs="Times New Roman"/>
          <w:szCs w:val="24"/>
        </w:rPr>
        <w:t xml:space="preserve"> until the youth is 16 years old.</w:t>
      </w:r>
      <w:r w:rsidR="0091239C">
        <w:rPr>
          <w:rFonts w:eastAsia="Times New Roman" w:cs="Times New Roman"/>
          <w:szCs w:val="24"/>
        </w:rPr>
        <w:t xml:space="preserve"> </w:t>
      </w:r>
    </w:p>
    <w:p w:rsidR="00524CED" w:rsidRPr="00524CED" w:rsidRDefault="00997ACB" w:rsidP="00997ACB">
      <w:pPr>
        <w:numPr>
          <w:ilvl w:val="0"/>
          <w:numId w:val="2"/>
        </w:numPr>
        <w:spacing w:after="160" w:line="259" w:lineRule="auto"/>
        <w:rPr>
          <w:rFonts w:eastAsia="Times New Roman" w:cs="Times New Roman"/>
          <w:szCs w:val="24"/>
        </w:rPr>
      </w:pPr>
      <w:r w:rsidRPr="007C0D7C">
        <w:rPr>
          <w:rFonts w:eastAsia="Times New Roman" w:cs="Times New Roman"/>
          <w:szCs w:val="24"/>
        </w:rPr>
        <w:t>The IL worker will refer your client to independent</w:t>
      </w:r>
      <w:r w:rsidR="0091239C">
        <w:rPr>
          <w:rFonts w:eastAsia="Times New Roman" w:cs="Times New Roman"/>
          <w:szCs w:val="24"/>
        </w:rPr>
        <w:t xml:space="preserve"> living classes, which address</w:t>
      </w:r>
      <w:r w:rsidRPr="007C0D7C">
        <w:rPr>
          <w:rFonts w:eastAsia="Times New Roman" w:cs="Times New Roman"/>
          <w:szCs w:val="24"/>
        </w:rPr>
        <w:t xml:space="preserve"> skills and needs such as</w:t>
      </w:r>
      <w:r w:rsidR="00524CED" w:rsidRPr="00524CED">
        <w:rPr>
          <w:rFonts w:eastAsia="Times New Roman" w:cs="Times New Roman"/>
          <w:szCs w:val="24"/>
        </w:rPr>
        <w:t xml:space="preserve"> resume building, housing, money management, finding community resources, and education options.</w:t>
      </w:r>
      <w:r w:rsidRPr="007C0D7C">
        <w:rPr>
          <w:rFonts w:eastAsia="Times New Roman" w:cs="Times New Roman"/>
          <w:szCs w:val="24"/>
        </w:rPr>
        <w:t xml:space="preserve">  The IL worker will help your client get a</w:t>
      </w:r>
      <w:r w:rsidR="00524CED" w:rsidRPr="00524CED">
        <w:rPr>
          <w:rFonts w:eastAsia="Times New Roman" w:cs="Times New Roman"/>
          <w:szCs w:val="24"/>
        </w:rPr>
        <w:t xml:space="preserve"> NV ID</w:t>
      </w:r>
      <w:r w:rsidRPr="007C0D7C">
        <w:rPr>
          <w:rFonts w:eastAsia="Times New Roman" w:cs="Times New Roman"/>
          <w:szCs w:val="24"/>
        </w:rPr>
        <w:t xml:space="preserve"> or driver’s license</w:t>
      </w:r>
      <w:r w:rsidR="00524CED" w:rsidRPr="00524CED">
        <w:rPr>
          <w:rFonts w:eastAsia="Times New Roman" w:cs="Times New Roman"/>
          <w:szCs w:val="24"/>
        </w:rPr>
        <w:t>, a health card and retriev</w:t>
      </w:r>
      <w:r w:rsidRPr="007C0D7C">
        <w:rPr>
          <w:rFonts w:eastAsia="Times New Roman" w:cs="Times New Roman"/>
          <w:szCs w:val="24"/>
        </w:rPr>
        <w:t>e</w:t>
      </w:r>
      <w:r w:rsidR="00524CED" w:rsidRPr="00524CED">
        <w:rPr>
          <w:rFonts w:eastAsia="Times New Roman" w:cs="Times New Roman"/>
          <w:szCs w:val="24"/>
        </w:rPr>
        <w:t xml:space="preserve"> their credit reports</w:t>
      </w:r>
      <w:r w:rsidRPr="007C0D7C">
        <w:rPr>
          <w:rFonts w:eastAsia="Times New Roman" w:cs="Times New Roman"/>
          <w:szCs w:val="24"/>
        </w:rPr>
        <w:t>.  The IL worker will also help your client access funds for college.</w:t>
      </w:r>
    </w:p>
    <w:p w:rsidR="00524CED" w:rsidRPr="007C0D7C" w:rsidRDefault="00997ACB" w:rsidP="00524CED">
      <w:pPr>
        <w:numPr>
          <w:ilvl w:val="0"/>
          <w:numId w:val="2"/>
        </w:numPr>
        <w:spacing w:after="160" w:line="259" w:lineRule="auto"/>
        <w:rPr>
          <w:rFonts w:eastAsia="Times New Roman" w:cs="Times New Roman"/>
          <w:szCs w:val="24"/>
        </w:rPr>
      </w:pPr>
      <w:r w:rsidRPr="007C0D7C">
        <w:rPr>
          <w:rFonts w:eastAsia="Times New Roman" w:cs="Times New Roman"/>
          <w:szCs w:val="24"/>
        </w:rPr>
        <w:t xml:space="preserve">The </w:t>
      </w:r>
      <w:r w:rsidR="00524CED" w:rsidRPr="00524CED">
        <w:rPr>
          <w:rFonts w:eastAsia="Times New Roman" w:cs="Times New Roman"/>
          <w:szCs w:val="24"/>
        </w:rPr>
        <w:t>IL worker</w:t>
      </w:r>
      <w:r w:rsidRPr="007C0D7C">
        <w:rPr>
          <w:rFonts w:eastAsia="Times New Roman" w:cs="Times New Roman"/>
          <w:szCs w:val="24"/>
        </w:rPr>
        <w:t xml:space="preserve"> also provides your client with access to Chafee funds, which are monies specifically for teens to use on education, sports, cult</w:t>
      </w:r>
      <w:r w:rsidR="005A0ACC" w:rsidRPr="007C0D7C">
        <w:rPr>
          <w:rFonts w:eastAsia="Times New Roman" w:cs="Times New Roman"/>
          <w:szCs w:val="24"/>
        </w:rPr>
        <w:t>ural interests, and self-sufficiency goals.  The amount available depends on your client’s ag</w:t>
      </w:r>
      <w:r w:rsidR="0091239C">
        <w:rPr>
          <w:rFonts w:eastAsia="Times New Roman" w:cs="Times New Roman"/>
          <w:szCs w:val="24"/>
        </w:rPr>
        <w:t xml:space="preserve">e, starting at $300 to a maximum of </w:t>
      </w:r>
      <w:r w:rsidR="005A0ACC" w:rsidRPr="007C0D7C">
        <w:rPr>
          <w:rFonts w:eastAsia="Times New Roman" w:cs="Times New Roman"/>
          <w:szCs w:val="24"/>
        </w:rPr>
        <w:t xml:space="preserve">$750 per year.  </w:t>
      </w:r>
      <w:r w:rsidR="005A0ACC" w:rsidRPr="0091239C">
        <w:rPr>
          <w:rFonts w:eastAsia="Times New Roman" w:cs="Times New Roman"/>
          <w:i/>
          <w:szCs w:val="24"/>
        </w:rPr>
        <w:t>Practice pointer</w:t>
      </w:r>
      <w:r w:rsidR="005A0ACC" w:rsidRPr="007C0D7C">
        <w:rPr>
          <w:rFonts w:eastAsia="Times New Roman" w:cs="Times New Roman"/>
          <w:szCs w:val="24"/>
        </w:rPr>
        <w:t>: Chafee funds use a July-June fiscal year, so the end of school is a good time to ask</w:t>
      </w:r>
      <w:r w:rsidR="0091239C">
        <w:rPr>
          <w:rFonts w:eastAsia="Times New Roman" w:cs="Times New Roman"/>
          <w:szCs w:val="24"/>
        </w:rPr>
        <w:t xml:space="preserve"> your client’s IL worker</w:t>
      </w:r>
      <w:r w:rsidR="005A0ACC" w:rsidRPr="007C0D7C">
        <w:rPr>
          <w:rFonts w:eastAsia="Times New Roman" w:cs="Times New Roman"/>
          <w:szCs w:val="24"/>
        </w:rPr>
        <w:t xml:space="preserve"> about unused Chafee funds.</w:t>
      </w:r>
    </w:p>
    <w:p w:rsidR="005A0ACC" w:rsidRPr="00524CED" w:rsidRDefault="005A0ACC" w:rsidP="00524CED">
      <w:pPr>
        <w:numPr>
          <w:ilvl w:val="0"/>
          <w:numId w:val="2"/>
        </w:numPr>
        <w:spacing w:after="160" w:line="259" w:lineRule="auto"/>
        <w:rPr>
          <w:rFonts w:eastAsia="Times New Roman" w:cs="Times New Roman"/>
          <w:szCs w:val="24"/>
        </w:rPr>
      </w:pPr>
      <w:r w:rsidRPr="007C0D7C">
        <w:rPr>
          <w:rFonts w:eastAsia="Times New Roman" w:cs="Times New Roman"/>
          <w:szCs w:val="24"/>
        </w:rPr>
        <w:t xml:space="preserve">The IL worker should </w:t>
      </w:r>
      <w:r w:rsidR="0091239C">
        <w:rPr>
          <w:rFonts w:eastAsia="Times New Roman" w:cs="Times New Roman"/>
          <w:szCs w:val="24"/>
        </w:rPr>
        <w:t>conduct</w:t>
      </w:r>
      <w:r w:rsidRPr="007C0D7C">
        <w:rPr>
          <w:rFonts w:eastAsia="Times New Roman" w:cs="Times New Roman"/>
          <w:szCs w:val="24"/>
        </w:rPr>
        <w:t xml:space="preserve"> periodic CFTs to develop and update your client’s Transitional Living Plan.  These Plans </w:t>
      </w:r>
      <w:proofErr w:type="gramStart"/>
      <w:r w:rsidRPr="007C0D7C">
        <w:rPr>
          <w:rFonts w:eastAsia="Times New Roman" w:cs="Times New Roman"/>
          <w:szCs w:val="24"/>
        </w:rPr>
        <w:t>are designed</w:t>
      </w:r>
      <w:proofErr w:type="gramEnd"/>
      <w:r w:rsidRPr="007C0D7C">
        <w:rPr>
          <w:rFonts w:eastAsia="Times New Roman" w:cs="Times New Roman"/>
          <w:szCs w:val="24"/>
        </w:rPr>
        <w:t xml:space="preserve"> to get the client thinking about their future and set goals for independ</w:t>
      </w:r>
      <w:r w:rsidR="0091239C">
        <w:rPr>
          <w:rFonts w:eastAsia="Times New Roman" w:cs="Times New Roman"/>
          <w:szCs w:val="24"/>
        </w:rPr>
        <w:t>ence.  If your client will be exiting foster care to a supportive independent living program on their 18</w:t>
      </w:r>
      <w:r w:rsidR="0091239C" w:rsidRPr="0091239C">
        <w:rPr>
          <w:rFonts w:eastAsia="Times New Roman" w:cs="Times New Roman"/>
          <w:szCs w:val="24"/>
          <w:vertAlign w:val="superscript"/>
        </w:rPr>
        <w:t>th</w:t>
      </w:r>
      <w:r w:rsidR="0091239C">
        <w:rPr>
          <w:rFonts w:eastAsia="Times New Roman" w:cs="Times New Roman"/>
          <w:szCs w:val="24"/>
        </w:rPr>
        <w:t xml:space="preserve"> </w:t>
      </w:r>
      <w:r w:rsidRPr="007C0D7C">
        <w:rPr>
          <w:rFonts w:eastAsia="Times New Roman" w:cs="Times New Roman"/>
          <w:szCs w:val="24"/>
        </w:rPr>
        <w:t>birthday, the IL worker should conduct CFTs six months before your client’s 18</w:t>
      </w:r>
      <w:r w:rsidRPr="007C0D7C">
        <w:rPr>
          <w:rFonts w:eastAsia="Times New Roman" w:cs="Times New Roman"/>
          <w:szCs w:val="24"/>
          <w:vertAlign w:val="superscript"/>
        </w:rPr>
        <w:t>th</w:t>
      </w:r>
      <w:r w:rsidRPr="007C0D7C">
        <w:rPr>
          <w:rFonts w:eastAsia="Times New Roman" w:cs="Times New Roman"/>
          <w:szCs w:val="24"/>
        </w:rPr>
        <w:t xml:space="preserve"> birthday and 30 days before your client’s 18</w:t>
      </w:r>
      <w:r w:rsidRPr="007C0D7C">
        <w:rPr>
          <w:rFonts w:eastAsia="Times New Roman" w:cs="Times New Roman"/>
          <w:szCs w:val="24"/>
          <w:vertAlign w:val="superscript"/>
        </w:rPr>
        <w:t>th</w:t>
      </w:r>
      <w:r w:rsidRPr="007C0D7C">
        <w:rPr>
          <w:rFonts w:eastAsia="Times New Roman" w:cs="Times New Roman"/>
          <w:szCs w:val="24"/>
        </w:rPr>
        <w:t xml:space="preserve"> birthday.</w:t>
      </w:r>
    </w:p>
    <w:p w:rsidR="00524CED" w:rsidRPr="00524CED" w:rsidRDefault="00524CED" w:rsidP="00524CED">
      <w:pPr>
        <w:spacing w:after="160" w:line="259" w:lineRule="auto"/>
        <w:rPr>
          <w:rFonts w:eastAsia="Times New Roman" w:cs="Times New Roman"/>
          <w:szCs w:val="24"/>
        </w:rPr>
      </w:pPr>
      <w:r w:rsidRPr="007C0D7C">
        <w:rPr>
          <w:rFonts w:eastAsia="Times New Roman" w:cs="Times New Roman"/>
          <w:szCs w:val="24"/>
        </w:rPr>
        <w:t>THE CLIENT HAS THREE OPTIONS UPON TURNING 18 YEARS OF AGE:</w:t>
      </w:r>
    </w:p>
    <w:p w:rsidR="00A87DB8" w:rsidRPr="007C0D7C" w:rsidRDefault="00A87DB8" w:rsidP="00A87DB8">
      <w:pPr>
        <w:numPr>
          <w:ilvl w:val="0"/>
          <w:numId w:val="3"/>
        </w:numPr>
        <w:spacing w:after="160" w:line="259" w:lineRule="auto"/>
        <w:rPr>
          <w:rFonts w:eastAsia="Times New Roman" w:cs="Times New Roman"/>
          <w:szCs w:val="24"/>
        </w:rPr>
      </w:pPr>
      <w:r w:rsidRPr="007C0D7C">
        <w:rPr>
          <w:rFonts w:eastAsia="Times New Roman" w:cs="Times New Roman"/>
          <w:szCs w:val="24"/>
        </w:rPr>
        <w:t xml:space="preserve">At the age of 18, your client is legally an adult.  At that point, your client has three options:  (1) if the client is still in high school, then the client can remain in foster care, (2) the client can transition to a support program managed through Step Up, or (3) the client can exit care.   </w:t>
      </w:r>
      <w:r w:rsidRPr="0091239C">
        <w:rPr>
          <w:rFonts w:eastAsia="Times New Roman" w:cs="Times New Roman"/>
          <w:i/>
          <w:szCs w:val="24"/>
        </w:rPr>
        <w:t>Practice point</w:t>
      </w:r>
      <w:r w:rsidR="0091239C">
        <w:rPr>
          <w:rFonts w:eastAsia="Times New Roman" w:cs="Times New Roman"/>
          <w:i/>
          <w:szCs w:val="24"/>
        </w:rPr>
        <w:t>er</w:t>
      </w:r>
      <w:r w:rsidRPr="0091239C">
        <w:rPr>
          <w:rFonts w:eastAsia="Times New Roman" w:cs="Times New Roman"/>
          <w:i/>
          <w:szCs w:val="24"/>
        </w:rPr>
        <w:t>:</w:t>
      </w:r>
      <w:r w:rsidR="0091239C">
        <w:rPr>
          <w:rFonts w:eastAsia="Times New Roman" w:cs="Times New Roman"/>
          <w:szCs w:val="24"/>
        </w:rPr>
        <w:t xml:space="preserve"> I</w:t>
      </w:r>
      <w:r w:rsidRPr="007C0D7C">
        <w:rPr>
          <w:rFonts w:eastAsia="Times New Roman" w:cs="Times New Roman"/>
          <w:szCs w:val="24"/>
        </w:rPr>
        <w:t>f the client is still in school, the client can delay making a choice until graduation; in other words, the client does not have to pick a path on their birthday.</w:t>
      </w:r>
    </w:p>
    <w:p w:rsidR="00A87DB8" w:rsidRDefault="00A87DB8" w:rsidP="00A87DB8">
      <w:pPr>
        <w:numPr>
          <w:ilvl w:val="0"/>
          <w:numId w:val="3"/>
        </w:numPr>
        <w:spacing w:after="160" w:line="259" w:lineRule="auto"/>
        <w:rPr>
          <w:rFonts w:eastAsia="Times New Roman" w:cs="Times New Roman"/>
          <w:szCs w:val="24"/>
        </w:rPr>
      </w:pPr>
      <w:r w:rsidRPr="007C0D7C">
        <w:rPr>
          <w:rFonts w:eastAsia="Times New Roman" w:cs="Times New Roman"/>
          <w:szCs w:val="24"/>
        </w:rPr>
        <w:t xml:space="preserve">If your client exits care or transitions to a program at Step Up, the court will terminate DFS Custody (meaning </w:t>
      </w:r>
      <w:proofErr w:type="spellStart"/>
      <w:r w:rsidRPr="007C0D7C">
        <w:rPr>
          <w:rFonts w:eastAsia="Times New Roman" w:cs="Times New Roman"/>
          <w:szCs w:val="24"/>
        </w:rPr>
        <w:t>wardship</w:t>
      </w:r>
      <w:proofErr w:type="spellEnd"/>
      <w:r w:rsidRPr="007C0D7C">
        <w:rPr>
          <w:rFonts w:eastAsia="Times New Roman" w:cs="Times New Roman"/>
          <w:szCs w:val="24"/>
        </w:rPr>
        <w:t>) at a hearing near the time of the transition.</w:t>
      </w:r>
    </w:p>
    <w:p w:rsidR="0091239C" w:rsidRDefault="0091239C" w:rsidP="0091239C">
      <w:pPr>
        <w:spacing w:after="160" w:line="259" w:lineRule="auto"/>
        <w:ind w:left="720"/>
        <w:rPr>
          <w:rFonts w:eastAsia="Times New Roman" w:cs="Times New Roman"/>
          <w:szCs w:val="24"/>
        </w:rPr>
      </w:pPr>
    </w:p>
    <w:p w:rsidR="0091239C" w:rsidRPr="007C0D7C" w:rsidRDefault="0091239C" w:rsidP="0091239C">
      <w:pPr>
        <w:spacing w:after="160" w:line="259" w:lineRule="auto"/>
        <w:ind w:left="720"/>
        <w:rPr>
          <w:rFonts w:eastAsia="Times New Roman" w:cs="Times New Roman"/>
          <w:szCs w:val="24"/>
        </w:rPr>
      </w:pPr>
    </w:p>
    <w:p w:rsidR="00524CED" w:rsidRPr="00524CED" w:rsidRDefault="003223E5" w:rsidP="003223E5">
      <w:pPr>
        <w:spacing w:after="160" w:line="259" w:lineRule="auto"/>
        <w:rPr>
          <w:rFonts w:eastAsia="Times New Roman" w:cs="Times New Roman"/>
          <w:szCs w:val="24"/>
        </w:rPr>
      </w:pPr>
      <w:r w:rsidRPr="007C0D7C">
        <w:rPr>
          <w:rFonts w:eastAsia="Times New Roman" w:cs="Times New Roman"/>
          <w:szCs w:val="24"/>
        </w:rPr>
        <w:lastRenderedPageBreak/>
        <w:t xml:space="preserve">STEP UP MANAGES TWO PROGRAMS DESIGNED TO HELP YOUTH BETWEEN 18 AND 21 WHO WERE IN FOSTER CARE BECOME INDEPENDENT ADULTS: </w:t>
      </w:r>
    </w:p>
    <w:p w:rsidR="003223E5" w:rsidRPr="00524CED" w:rsidRDefault="005E5981" w:rsidP="003223E5">
      <w:pPr>
        <w:numPr>
          <w:ilvl w:val="0"/>
          <w:numId w:val="3"/>
        </w:numPr>
        <w:spacing w:after="160" w:line="259" w:lineRule="auto"/>
        <w:rPr>
          <w:rFonts w:eastAsia="Times New Roman" w:cs="Times New Roman"/>
          <w:szCs w:val="24"/>
        </w:rPr>
      </w:pPr>
      <w:r w:rsidRPr="007C0D7C">
        <w:rPr>
          <w:rFonts w:eastAsia="Times New Roman" w:cs="Times New Roman"/>
          <w:szCs w:val="24"/>
        </w:rPr>
        <w:t xml:space="preserve">The most popular program is the Clark County </w:t>
      </w:r>
      <w:r w:rsidR="003223E5" w:rsidRPr="00524CED">
        <w:rPr>
          <w:rFonts w:eastAsia="Times New Roman" w:cs="Times New Roman"/>
          <w:szCs w:val="24"/>
        </w:rPr>
        <w:t xml:space="preserve">Voluntary Jurisdiction </w:t>
      </w:r>
      <w:r w:rsidRPr="007C0D7C">
        <w:rPr>
          <w:rFonts w:eastAsia="Times New Roman" w:cs="Times New Roman"/>
          <w:szCs w:val="24"/>
        </w:rPr>
        <w:t xml:space="preserve">Program </w:t>
      </w:r>
      <w:r w:rsidR="003223E5" w:rsidRPr="00524CED">
        <w:rPr>
          <w:rFonts w:eastAsia="Times New Roman" w:cs="Times New Roman"/>
          <w:szCs w:val="24"/>
        </w:rPr>
        <w:t>(</w:t>
      </w:r>
      <w:r w:rsidRPr="007C0D7C">
        <w:rPr>
          <w:rFonts w:eastAsia="Times New Roman" w:cs="Times New Roman"/>
          <w:szCs w:val="24"/>
        </w:rPr>
        <w:t xml:space="preserve">formerly known as the </w:t>
      </w:r>
      <w:r w:rsidR="003223E5" w:rsidRPr="00524CED">
        <w:rPr>
          <w:rFonts w:eastAsia="Times New Roman" w:cs="Times New Roman"/>
          <w:szCs w:val="24"/>
        </w:rPr>
        <w:t>AB350 Program</w:t>
      </w:r>
      <w:r w:rsidRPr="007C0D7C">
        <w:rPr>
          <w:rFonts w:eastAsia="Times New Roman" w:cs="Times New Roman"/>
          <w:szCs w:val="24"/>
        </w:rPr>
        <w:t xml:space="preserve"> and sometimes called “CC VOL JUR”).</w:t>
      </w:r>
      <w:r w:rsidR="008F19B6" w:rsidRPr="007C0D7C">
        <w:rPr>
          <w:rFonts w:eastAsia="Times New Roman" w:cs="Times New Roman"/>
          <w:szCs w:val="24"/>
        </w:rPr>
        <w:t xml:space="preserve">  </w:t>
      </w:r>
      <w:r w:rsidR="0091239C">
        <w:rPr>
          <w:rFonts w:eastAsia="Times New Roman" w:cs="Times New Roman"/>
          <w:szCs w:val="24"/>
        </w:rPr>
        <w:t>If your client enters this program, t</w:t>
      </w:r>
      <w:r w:rsidR="008F19B6" w:rsidRPr="007C0D7C">
        <w:rPr>
          <w:rFonts w:eastAsia="Times New Roman" w:cs="Times New Roman"/>
          <w:szCs w:val="24"/>
        </w:rPr>
        <w:t>he client will receive monthly payments of $773 on a Bank of America debit card to help meet their monthly budget</w:t>
      </w:r>
      <w:r w:rsidR="0091239C">
        <w:rPr>
          <w:rFonts w:eastAsia="Times New Roman" w:cs="Times New Roman"/>
          <w:szCs w:val="24"/>
        </w:rPr>
        <w:t xml:space="preserve"> until their 21</w:t>
      </w:r>
      <w:r w:rsidR="0091239C" w:rsidRPr="0091239C">
        <w:rPr>
          <w:rFonts w:eastAsia="Times New Roman" w:cs="Times New Roman"/>
          <w:szCs w:val="24"/>
          <w:vertAlign w:val="superscript"/>
        </w:rPr>
        <w:t>st</w:t>
      </w:r>
      <w:r w:rsidR="0091239C">
        <w:rPr>
          <w:rFonts w:eastAsia="Times New Roman" w:cs="Times New Roman"/>
          <w:szCs w:val="24"/>
        </w:rPr>
        <w:t xml:space="preserve"> birthday</w:t>
      </w:r>
      <w:r w:rsidR="008F19B6" w:rsidRPr="007C0D7C">
        <w:rPr>
          <w:rFonts w:eastAsia="Times New Roman" w:cs="Times New Roman"/>
          <w:szCs w:val="24"/>
        </w:rPr>
        <w:t>.  In exchange, the client must work on their transition plan, with a focus on getting their high school diploma, and then college or employment.</w:t>
      </w:r>
      <w:r w:rsidR="003223E5" w:rsidRPr="00524CED">
        <w:rPr>
          <w:rFonts w:eastAsia="Times New Roman" w:cs="Times New Roman"/>
          <w:szCs w:val="24"/>
        </w:rPr>
        <w:t xml:space="preserve"> </w:t>
      </w:r>
    </w:p>
    <w:p w:rsidR="008F19B6" w:rsidRPr="007C0D7C" w:rsidRDefault="008F19B6" w:rsidP="00320A21">
      <w:pPr>
        <w:numPr>
          <w:ilvl w:val="1"/>
          <w:numId w:val="3"/>
        </w:numPr>
        <w:spacing w:after="160" w:line="259" w:lineRule="auto"/>
        <w:rPr>
          <w:rFonts w:eastAsia="Times New Roman" w:cs="Times New Roman"/>
          <w:szCs w:val="24"/>
        </w:rPr>
      </w:pPr>
      <w:r w:rsidRPr="007C0D7C">
        <w:rPr>
          <w:rFonts w:eastAsia="Times New Roman" w:cs="Times New Roman"/>
          <w:szCs w:val="24"/>
        </w:rPr>
        <w:t xml:space="preserve">Under this program, </w:t>
      </w:r>
      <w:proofErr w:type="spellStart"/>
      <w:r w:rsidRPr="007C0D7C">
        <w:rPr>
          <w:rFonts w:eastAsia="Times New Roman" w:cs="Times New Roman"/>
          <w:szCs w:val="24"/>
        </w:rPr>
        <w:t>w</w:t>
      </w:r>
      <w:r w:rsidR="003223E5" w:rsidRPr="00524CED">
        <w:rPr>
          <w:rFonts w:eastAsia="Times New Roman" w:cs="Times New Roman"/>
          <w:szCs w:val="24"/>
        </w:rPr>
        <w:t>ardship</w:t>
      </w:r>
      <w:proofErr w:type="spellEnd"/>
      <w:r w:rsidR="003223E5" w:rsidRPr="00524CED">
        <w:rPr>
          <w:rFonts w:eastAsia="Times New Roman" w:cs="Times New Roman"/>
          <w:szCs w:val="24"/>
        </w:rPr>
        <w:t xml:space="preserve"> </w:t>
      </w:r>
      <w:proofErr w:type="gramStart"/>
      <w:r w:rsidR="003223E5" w:rsidRPr="00524CED">
        <w:rPr>
          <w:rFonts w:eastAsia="Times New Roman" w:cs="Times New Roman"/>
          <w:szCs w:val="24"/>
        </w:rPr>
        <w:t>is terminated</w:t>
      </w:r>
      <w:proofErr w:type="gramEnd"/>
      <w:r w:rsidRPr="007C0D7C">
        <w:rPr>
          <w:rFonts w:eastAsia="Times New Roman" w:cs="Times New Roman"/>
          <w:szCs w:val="24"/>
        </w:rPr>
        <w:t xml:space="preserve"> and the client will no longer be under DFS custody.  However, the youth consents to limited jurisdiction by the court to settle any dispute over participation in the program</w:t>
      </w:r>
      <w:r w:rsidR="0091239C">
        <w:rPr>
          <w:rFonts w:eastAsia="Times New Roman" w:cs="Times New Roman"/>
          <w:szCs w:val="24"/>
        </w:rPr>
        <w:t xml:space="preserve">.  </w:t>
      </w:r>
      <w:r w:rsidR="0091239C">
        <w:rPr>
          <w:rFonts w:eastAsia="Times New Roman" w:cs="Times New Roman"/>
          <w:i/>
          <w:szCs w:val="24"/>
        </w:rPr>
        <w:t>Practice pointer:</w:t>
      </w:r>
      <w:r w:rsidRPr="007C0D7C">
        <w:rPr>
          <w:rFonts w:eastAsia="Times New Roman" w:cs="Times New Roman"/>
          <w:szCs w:val="24"/>
        </w:rPr>
        <w:t xml:space="preserve"> </w:t>
      </w:r>
      <w:r w:rsidR="0091239C">
        <w:rPr>
          <w:rFonts w:eastAsia="Times New Roman" w:cs="Times New Roman"/>
          <w:szCs w:val="24"/>
        </w:rPr>
        <w:t>B</w:t>
      </w:r>
      <w:r w:rsidRPr="007C0D7C">
        <w:rPr>
          <w:rFonts w:eastAsia="Times New Roman" w:cs="Times New Roman"/>
          <w:szCs w:val="24"/>
        </w:rPr>
        <w:t>ecause the court maintains jurisdiction under this program, the CAP attorney keeps their file open until the program ends (either by the client’s request, the client’s 21</w:t>
      </w:r>
      <w:r w:rsidRPr="007C0D7C">
        <w:rPr>
          <w:rFonts w:eastAsia="Times New Roman" w:cs="Times New Roman"/>
          <w:szCs w:val="24"/>
          <w:vertAlign w:val="superscript"/>
        </w:rPr>
        <w:t>st</w:t>
      </w:r>
      <w:r w:rsidRPr="007C0D7C">
        <w:rPr>
          <w:rFonts w:eastAsia="Times New Roman" w:cs="Times New Roman"/>
          <w:szCs w:val="24"/>
        </w:rPr>
        <w:t xml:space="preserve"> birthday, or by court order).</w:t>
      </w:r>
    </w:p>
    <w:p w:rsidR="003223E5" w:rsidRPr="00524CED" w:rsidRDefault="00A16B26" w:rsidP="003223E5">
      <w:pPr>
        <w:numPr>
          <w:ilvl w:val="1"/>
          <w:numId w:val="3"/>
        </w:numPr>
        <w:spacing w:after="160" w:line="259" w:lineRule="auto"/>
        <w:rPr>
          <w:rFonts w:eastAsia="Times New Roman" w:cs="Times New Roman"/>
          <w:szCs w:val="24"/>
        </w:rPr>
      </w:pPr>
      <w:r w:rsidRPr="007C0D7C">
        <w:rPr>
          <w:rFonts w:eastAsia="Times New Roman" w:cs="Times New Roman"/>
          <w:szCs w:val="24"/>
        </w:rPr>
        <w:t xml:space="preserve">The client can only enter the Voluntary Jurisdiction Program directly upon leaving foster care.  The youth cannot enter FAFFY and later switch </w:t>
      </w:r>
      <w:r w:rsidR="0091239C">
        <w:rPr>
          <w:rFonts w:eastAsia="Times New Roman" w:cs="Times New Roman"/>
          <w:szCs w:val="24"/>
        </w:rPr>
        <w:t>to CC VOL JUR</w:t>
      </w:r>
      <w:r w:rsidRPr="007C0D7C">
        <w:rPr>
          <w:rFonts w:eastAsia="Times New Roman" w:cs="Times New Roman"/>
          <w:szCs w:val="24"/>
        </w:rPr>
        <w:t xml:space="preserve">. </w:t>
      </w:r>
      <w:r w:rsidR="0091239C">
        <w:rPr>
          <w:rFonts w:eastAsia="Times New Roman" w:cs="Times New Roman"/>
          <w:i/>
          <w:szCs w:val="24"/>
        </w:rPr>
        <w:t xml:space="preserve"> </w:t>
      </w:r>
    </w:p>
    <w:p w:rsidR="003223E5" w:rsidRPr="00524CED" w:rsidRDefault="00A16B26" w:rsidP="003223E5">
      <w:pPr>
        <w:numPr>
          <w:ilvl w:val="0"/>
          <w:numId w:val="3"/>
        </w:numPr>
        <w:spacing w:after="160" w:line="259" w:lineRule="auto"/>
        <w:rPr>
          <w:rFonts w:eastAsia="Times New Roman" w:cs="Times New Roman"/>
          <w:szCs w:val="24"/>
        </w:rPr>
      </w:pPr>
      <w:r w:rsidRPr="007C0D7C">
        <w:rPr>
          <w:rFonts w:eastAsia="Times New Roman" w:cs="Times New Roman"/>
          <w:szCs w:val="24"/>
        </w:rPr>
        <w:t>The other program managed by Step Up is FAFFY (</w:t>
      </w:r>
      <w:r w:rsidR="003223E5" w:rsidRPr="00524CED">
        <w:rPr>
          <w:rFonts w:eastAsia="Times New Roman" w:cs="Times New Roman"/>
          <w:szCs w:val="24"/>
        </w:rPr>
        <w:t>Funds to Ass</w:t>
      </w:r>
      <w:r w:rsidRPr="007C0D7C">
        <w:rPr>
          <w:rFonts w:eastAsia="Times New Roman" w:cs="Times New Roman"/>
          <w:szCs w:val="24"/>
        </w:rPr>
        <w:t xml:space="preserve">ist Former Foster Youth). Under this program, the court case is closed.  </w:t>
      </w:r>
      <w:r w:rsidR="0091239C">
        <w:rPr>
          <w:rFonts w:eastAsia="Times New Roman" w:cs="Times New Roman"/>
          <w:i/>
          <w:szCs w:val="24"/>
        </w:rPr>
        <w:t xml:space="preserve">Practice Pointer: </w:t>
      </w:r>
      <w:r w:rsidR="0091239C">
        <w:rPr>
          <w:rFonts w:eastAsia="Times New Roman" w:cs="Times New Roman"/>
          <w:szCs w:val="24"/>
        </w:rPr>
        <w:t>With</w:t>
      </w:r>
      <w:r w:rsidRPr="007C0D7C">
        <w:rPr>
          <w:rFonts w:eastAsia="Times New Roman" w:cs="Times New Roman"/>
          <w:szCs w:val="24"/>
        </w:rPr>
        <w:t xml:space="preserve"> closure of the case, the CAP attorney’s representation ends.  </w:t>
      </w:r>
    </w:p>
    <w:p w:rsidR="003223E5" w:rsidRPr="00524CED" w:rsidRDefault="00A16B26" w:rsidP="003223E5">
      <w:pPr>
        <w:numPr>
          <w:ilvl w:val="1"/>
          <w:numId w:val="3"/>
        </w:numPr>
        <w:spacing w:after="160" w:line="259" w:lineRule="auto"/>
        <w:rPr>
          <w:rFonts w:eastAsia="Times New Roman" w:cs="Times New Roman"/>
          <w:szCs w:val="24"/>
        </w:rPr>
      </w:pPr>
      <w:r w:rsidRPr="007C0D7C">
        <w:rPr>
          <w:rFonts w:eastAsia="Times New Roman" w:cs="Times New Roman"/>
          <w:szCs w:val="24"/>
        </w:rPr>
        <w:t xml:space="preserve">The amount paid to the client is the same; the manner of payment is different.  Step Up pays the rent, </w:t>
      </w:r>
      <w:r w:rsidR="003223E5" w:rsidRPr="00524CED">
        <w:rPr>
          <w:rFonts w:eastAsia="Times New Roman" w:cs="Times New Roman"/>
          <w:szCs w:val="24"/>
        </w:rPr>
        <w:t>up to $773</w:t>
      </w:r>
      <w:r w:rsidRPr="007C0D7C">
        <w:rPr>
          <w:rFonts w:eastAsia="Times New Roman" w:cs="Times New Roman"/>
          <w:szCs w:val="24"/>
        </w:rPr>
        <w:t xml:space="preserve">, </w:t>
      </w:r>
      <w:r w:rsidR="003223E5" w:rsidRPr="00524CED">
        <w:rPr>
          <w:rFonts w:eastAsia="Times New Roman" w:cs="Times New Roman"/>
          <w:szCs w:val="24"/>
        </w:rPr>
        <w:t>directly to the</w:t>
      </w:r>
      <w:r w:rsidRPr="007C0D7C">
        <w:rPr>
          <w:rFonts w:eastAsia="Times New Roman" w:cs="Times New Roman"/>
          <w:szCs w:val="24"/>
        </w:rPr>
        <w:t xml:space="preserve"> youth’s</w:t>
      </w:r>
      <w:r w:rsidR="003223E5" w:rsidRPr="00524CED">
        <w:rPr>
          <w:rFonts w:eastAsia="Times New Roman" w:cs="Times New Roman"/>
          <w:szCs w:val="24"/>
        </w:rPr>
        <w:t xml:space="preserve"> </w:t>
      </w:r>
      <w:proofErr w:type="gramStart"/>
      <w:r w:rsidR="003223E5" w:rsidRPr="00524CED">
        <w:rPr>
          <w:rFonts w:eastAsia="Times New Roman" w:cs="Times New Roman"/>
          <w:szCs w:val="24"/>
        </w:rPr>
        <w:t>landlord</w:t>
      </w:r>
      <w:proofErr w:type="gramEnd"/>
      <w:r w:rsidR="003223E5" w:rsidRPr="00524CED">
        <w:rPr>
          <w:rFonts w:eastAsia="Times New Roman" w:cs="Times New Roman"/>
          <w:szCs w:val="24"/>
        </w:rPr>
        <w:t xml:space="preserve">.  </w:t>
      </w:r>
      <w:r w:rsidRPr="007C0D7C">
        <w:rPr>
          <w:rFonts w:eastAsia="Times New Roman" w:cs="Times New Roman"/>
          <w:szCs w:val="24"/>
        </w:rPr>
        <w:t>Any m</w:t>
      </w:r>
      <w:r w:rsidR="003223E5" w:rsidRPr="00524CED">
        <w:rPr>
          <w:rFonts w:eastAsia="Times New Roman" w:cs="Times New Roman"/>
          <w:szCs w:val="24"/>
        </w:rPr>
        <w:t>oney left over goes directly to the youth on gift cards.</w:t>
      </w:r>
    </w:p>
    <w:p w:rsidR="003223E5" w:rsidRPr="007C0D7C" w:rsidRDefault="00A16B26" w:rsidP="003223E5">
      <w:pPr>
        <w:numPr>
          <w:ilvl w:val="1"/>
          <w:numId w:val="3"/>
        </w:numPr>
        <w:spacing w:after="160" w:line="259" w:lineRule="auto"/>
        <w:rPr>
          <w:rFonts w:eastAsia="Times New Roman" w:cs="Times New Roman"/>
          <w:szCs w:val="24"/>
        </w:rPr>
      </w:pPr>
      <w:r w:rsidRPr="007C0D7C">
        <w:rPr>
          <w:rFonts w:eastAsia="Times New Roman" w:cs="Times New Roman"/>
          <w:szCs w:val="24"/>
        </w:rPr>
        <w:t>Foster youth</w:t>
      </w:r>
      <w:r w:rsidR="003223E5" w:rsidRPr="00524CED">
        <w:rPr>
          <w:rFonts w:eastAsia="Times New Roman" w:cs="Times New Roman"/>
          <w:szCs w:val="24"/>
        </w:rPr>
        <w:t xml:space="preserve"> can enter this program any time after 18</w:t>
      </w:r>
      <w:r w:rsidR="003223E5" w:rsidRPr="00524CED">
        <w:rPr>
          <w:rFonts w:eastAsia="Times New Roman" w:cs="Times New Roman"/>
          <w:szCs w:val="24"/>
          <w:vertAlign w:val="superscript"/>
        </w:rPr>
        <w:t>th</w:t>
      </w:r>
      <w:r w:rsidR="003223E5" w:rsidRPr="00524CED">
        <w:rPr>
          <w:rFonts w:eastAsia="Times New Roman" w:cs="Times New Roman"/>
          <w:szCs w:val="24"/>
        </w:rPr>
        <w:t xml:space="preserve"> birthday.</w:t>
      </w:r>
      <w:r w:rsidRPr="007C0D7C">
        <w:rPr>
          <w:rFonts w:eastAsia="Times New Roman" w:cs="Times New Roman"/>
          <w:szCs w:val="24"/>
        </w:rPr>
        <w:t xml:space="preserve">  </w:t>
      </w:r>
      <w:r w:rsidRPr="0091239C">
        <w:rPr>
          <w:rFonts w:eastAsia="Times New Roman" w:cs="Times New Roman"/>
          <w:i/>
          <w:szCs w:val="24"/>
        </w:rPr>
        <w:t>Practice pointer</w:t>
      </w:r>
      <w:r w:rsidRPr="007C0D7C">
        <w:rPr>
          <w:rFonts w:eastAsia="Times New Roman" w:cs="Times New Roman"/>
          <w:szCs w:val="24"/>
        </w:rPr>
        <w:t xml:space="preserve">: </w:t>
      </w:r>
      <w:r w:rsidR="0091239C">
        <w:rPr>
          <w:rFonts w:eastAsia="Times New Roman" w:cs="Times New Roman"/>
          <w:szCs w:val="24"/>
        </w:rPr>
        <w:t>I</w:t>
      </w:r>
      <w:r w:rsidRPr="007C0D7C">
        <w:rPr>
          <w:rFonts w:eastAsia="Times New Roman" w:cs="Times New Roman"/>
          <w:szCs w:val="24"/>
        </w:rPr>
        <w:t xml:space="preserve">f your client </w:t>
      </w:r>
      <w:proofErr w:type="gramStart"/>
      <w:r w:rsidRPr="007C0D7C">
        <w:rPr>
          <w:rFonts w:eastAsia="Times New Roman" w:cs="Times New Roman"/>
          <w:szCs w:val="24"/>
        </w:rPr>
        <w:t>is terminated</w:t>
      </w:r>
      <w:proofErr w:type="gramEnd"/>
      <w:r w:rsidRPr="007C0D7C">
        <w:rPr>
          <w:rFonts w:eastAsia="Times New Roman" w:cs="Times New Roman"/>
          <w:szCs w:val="24"/>
        </w:rPr>
        <w:t xml:space="preserve"> from the Voluntary Jurisdiction program, the client can enter the FAFFY program and still have support.</w:t>
      </w:r>
    </w:p>
    <w:p w:rsidR="00A16B26" w:rsidRPr="007C0D7C" w:rsidRDefault="00360365" w:rsidP="003223E5">
      <w:pPr>
        <w:numPr>
          <w:ilvl w:val="1"/>
          <w:numId w:val="3"/>
        </w:numPr>
        <w:spacing w:after="160" w:line="259" w:lineRule="auto"/>
        <w:rPr>
          <w:rFonts w:eastAsia="Times New Roman" w:cs="Times New Roman"/>
          <w:szCs w:val="24"/>
        </w:rPr>
      </w:pPr>
      <w:r w:rsidRPr="007C0D7C">
        <w:rPr>
          <w:rFonts w:eastAsia="Times New Roman" w:cs="Times New Roman"/>
          <w:szCs w:val="24"/>
        </w:rPr>
        <w:t>The client must work on education and employment goals.</w:t>
      </w:r>
    </w:p>
    <w:p w:rsidR="00360365" w:rsidRPr="00ED103C" w:rsidRDefault="003223E5" w:rsidP="00ED103C">
      <w:pPr>
        <w:numPr>
          <w:ilvl w:val="0"/>
          <w:numId w:val="3"/>
        </w:numPr>
        <w:spacing w:after="160" w:line="259" w:lineRule="auto"/>
        <w:rPr>
          <w:rFonts w:eastAsia="Times New Roman" w:cs="Times New Roman"/>
          <w:szCs w:val="24"/>
        </w:rPr>
      </w:pPr>
      <w:r w:rsidRPr="007C0D7C">
        <w:rPr>
          <w:rFonts w:eastAsia="Times New Roman" w:cs="Times New Roman"/>
          <w:szCs w:val="24"/>
        </w:rPr>
        <w:t>Other benefits</w:t>
      </w:r>
      <w:r w:rsidR="0091239C">
        <w:rPr>
          <w:rFonts w:eastAsia="Times New Roman" w:cs="Times New Roman"/>
          <w:szCs w:val="24"/>
        </w:rPr>
        <w:t xml:space="preserve"> managed by Step Up</w:t>
      </w:r>
      <w:r w:rsidRPr="007C0D7C">
        <w:rPr>
          <w:rFonts w:eastAsia="Times New Roman" w:cs="Times New Roman"/>
          <w:szCs w:val="24"/>
        </w:rPr>
        <w:t>: Step Up has a move-in stipend, for housing</w:t>
      </w:r>
      <w:r w:rsidR="00524CED" w:rsidRPr="00524CED">
        <w:rPr>
          <w:rFonts w:eastAsia="Times New Roman" w:cs="Times New Roman"/>
          <w:szCs w:val="24"/>
        </w:rPr>
        <w:t xml:space="preserve"> (up to $1000, one time)</w:t>
      </w:r>
      <w:r w:rsidRPr="007C0D7C">
        <w:rPr>
          <w:rFonts w:eastAsia="Times New Roman" w:cs="Times New Roman"/>
          <w:szCs w:val="24"/>
        </w:rPr>
        <w:t>, a graduation stipend ($500 for a diploma and $250 for GED/</w:t>
      </w:r>
      <w:proofErr w:type="spellStart"/>
      <w:r w:rsidRPr="007C0D7C">
        <w:rPr>
          <w:rFonts w:eastAsia="Times New Roman" w:cs="Times New Roman"/>
          <w:szCs w:val="24"/>
        </w:rPr>
        <w:t>HiSET</w:t>
      </w:r>
      <w:proofErr w:type="spellEnd"/>
      <w:r w:rsidRPr="007C0D7C">
        <w:rPr>
          <w:rFonts w:eastAsia="Times New Roman" w:cs="Times New Roman"/>
          <w:szCs w:val="24"/>
        </w:rPr>
        <w:t>), and some emergency funds and supplies.</w:t>
      </w:r>
      <w:r w:rsidR="00ED103C">
        <w:rPr>
          <w:rFonts w:eastAsia="Times New Roman" w:cs="Times New Roman"/>
          <w:szCs w:val="24"/>
        </w:rPr>
        <w:t xml:space="preserve">  </w:t>
      </w:r>
      <w:r w:rsidRPr="00ED103C">
        <w:rPr>
          <w:rFonts w:eastAsia="Times New Roman" w:cs="Times New Roman"/>
          <w:szCs w:val="24"/>
        </w:rPr>
        <w:t>Step Up also provides assistance with the tuition voucher for college and help with “aged out youth” Medicaid (available until the client is 26).</w:t>
      </w:r>
    </w:p>
    <w:p w:rsidR="000775DA" w:rsidRPr="007C0D7C" w:rsidRDefault="00360365" w:rsidP="000775DA">
      <w:pPr>
        <w:spacing w:after="160" w:line="259" w:lineRule="auto"/>
        <w:rPr>
          <w:rFonts w:eastAsia="Times New Roman" w:cs="Times New Roman"/>
          <w:szCs w:val="24"/>
        </w:rPr>
      </w:pPr>
      <w:bookmarkStart w:id="0" w:name="_GoBack"/>
      <w:proofErr w:type="gramStart"/>
      <w:r w:rsidRPr="007C0D7C">
        <w:rPr>
          <w:rFonts w:eastAsia="Times New Roman" w:cs="Times New Roman"/>
          <w:b/>
          <w:szCs w:val="24"/>
        </w:rPr>
        <w:t>STILL HAVE QUESTIONS?</w:t>
      </w:r>
      <w:proofErr w:type="gramEnd"/>
      <w:r w:rsidRPr="007C0D7C">
        <w:rPr>
          <w:rFonts w:eastAsia="Times New Roman" w:cs="Times New Roman"/>
          <w:b/>
          <w:szCs w:val="24"/>
        </w:rPr>
        <w:t xml:space="preserve"> WE ARE HERE TO HELP:</w:t>
      </w:r>
    </w:p>
    <w:p w:rsidR="000775DA" w:rsidRPr="007C0D7C" w:rsidRDefault="0091239C" w:rsidP="000775DA">
      <w:pPr>
        <w:numPr>
          <w:ilvl w:val="0"/>
          <w:numId w:val="3"/>
        </w:numPr>
        <w:spacing w:after="160" w:line="259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Call or email our Volunteer Coordinator at the Pro Bono Project: Josie Techau, (702) 386-1514 or htechau@lacsn.org</w:t>
      </w:r>
      <w:r w:rsidR="007C0D7C">
        <w:rPr>
          <w:rFonts w:eastAsia="Times New Roman" w:cs="Times New Roman"/>
          <w:szCs w:val="24"/>
        </w:rPr>
        <w:t xml:space="preserve">  </w:t>
      </w:r>
    </w:p>
    <w:p w:rsidR="000775DA" w:rsidRPr="007C0D7C" w:rsidRDefault="000775DA" w:rsidP="000775DA">
      <w:pPr>
        <w:numPr>
          <w:ilvl w:val="0"/>
          <w:numId w:val="3"/>
        </w:numPr>
        <w:spacing w:after="160" w:line="259" w:lineRule="auto"/>
        <w:rPr>
          <w:rFonts w:eastAsia="Times New Roman" w:cs="Times New Roman"/>
          <w:szCs w:val="24"/>
        </w:rPr>
      </w:pPr>
      <w:r w:rsidRPr="007C0D7C">
        <w:rPr>
          <w:rFonts w:eastAsia="Times New Roman" w:cs="Times New Roman"/>
          <w:szCs w:val="24"/>
        </w:rPr>
        <w:t xml:space="preserve">Check out the resources on our website:  </w:t>
      </w:r>
      <w:hyperlink r:id="rId7" w:history="1">
        <w:r w:rsidRPr="007C0D7C">
          <w:rPr>
            <w:rStyle w:val="Hyperlink"/>
            <w:rFonts w:eastAsia="Times New Roman" w:cs="Times New Roman"/>
            <w:szCs w:val="24"/>
          </w:rPr>
          <w:t>http://www.lacsnprobono.org/resources-and-training/childrens-attorneys-project/</w:t>
        </w:r>
      </w:hyperlink>
    </w:p>
    <w:p w:rsidR="000775DA" w:rsidRPr="007C0D7C" w:rsidRDefault="000775DA" w:rsidP="000775DA">
      <w:pPr>
        <w:numPr>
          <w:ilvl w:val="0"/>
          <w:numId w:val="3"/>
        </w:numPr>
        <w:spacing w:after="160" w:line="259" w:lineRule="auto"/>
        <w:rPr>
          <w:rFonts w:eastAsia="Times New Roman" w:cs="Times New Roman"/>
          <w:szCs w:val="24"/>
        </w:rPr>
      </w:pPr>
      <w:r w:rsidRPr="007C0D7C">
        <w:rPr>
          <w:rFonts w:eastAsia="Times New Roman" w:cs="Times New Roman"/>
          <w:szCs w:val="24"/>
        </w:rPr>
        <w:t xml:space="preserve">Call or email your mentor.  </w:t>
      </w:r>
      <w:proofErr w:type="gramStart"/>
      <w:r w:rsidRPr="007C0D7C">
        <w:rPr>
          <w:rFonts w:eastAsia="Times New Roman" w:cs="Times New Roman"/>
          <w:szCs w:val="24"/>
        </w:rPr>
        <w:t>Don’t</w:t>
      </w:r>
      <w:proofErr w:type="gramEnd"/>
      <w:r w:rsidRPr="007C0D7C">
        <w:rPr>
          <w:rFonts w:eastAsia="Times New Roman" w:cs="Times New Roman"/>
          <w:szCs w:val="24"/>
        </w:rPr>
        <w:t xml:space="preserve"> know who your mentor is? </w:t>
      </w:r>
      <w:r w:rsidR="0091239C">
        <w:rPr>
          <w:rFonts w:eastAsia="Times New Roman" w:cs="Times New Roman"/>
          <w:szCs w:val="24"/>
        </w:rPr>
        <w:t xml:space="preserve">Email </w:t>
      </w:r>
      <w:r w:rsidR="00ED103C">
        <w:rPr>
          <w:rFonts w:eastAsia="Times New Roman" w:cs="Times New Roman"/>
          <w:szCs w:val="24"/>
        </w:rPr>
        <w:t xml:space="preserve">our Prop Bono Project CAP Liaison </w:t>
      </w:r>
      <w:r w:rsidR="0091239C">
        <w:rPr>
          <w:rFonts w:eastAsia="Times New Roman" w:cs="Times New Roman"/>
          <w:szCs w:val="24"/>
        </w:rPr>
        <w:t xml:space="preserve">Carmen Ramirez for a virtual introduction: </w:t>
      </w:r>
      <w:r w:rsidR="00ED103C">
        <w:rPr>
          <w:rFonts w:eastAsia="Times New Roman" w:cs="Times New Roman"/>
          <w:szCs w:val="24"/>
        </w:rPr>
        <w:t>CRamirez@lacsn.org</w:t>
      </w:r>
    </w:p>
    <w:p w:rsidR="000775DA" w:rsidRPr="007C0D7C" w:rsidRDefault="000775DA" w:rsidP="000775DA">
      <w:pPr>
        <w:numPr>
          <w:ilvl w:val="0"/>
          <w:numId w:val="3"/>
        </w:numPr>
        <w:spacing w:after="160" w:line="259" w:lineRule="auto"/>
        <w:rPr>
          <w:rFonts w:eastAsia="Times New Roman" w:cs="Times New Roman"/>
          <w:szCs w:val="24"/>
        </w:rPr>
      </w:pPr>
      <w:r w:rsidRPr="007C0D7C">
        <w:rPr>
          <w:rFonts w:eastAsia="Times New Roman" w:cs="Times New Roman"/>
          <w:szCs w:val="24"/>
        </w:rPr>
        <w:t xml:space="preserve">Attend a support luncheon. </w:t>
      </w:r>
    </w:p>
    <w:p w:rsidR="00C37FC0" w:rsidRPr="0091239C" w:rsidRDefault="000775DA" w:rsidP="00C37FC0">
      <w:pPr>
        <w:numPr>
          <w:ilvl w:val="0"/>
          <w:numId w:val="3"/>
        </w:numPr>
        <w:spacing w:after="160" w:line="259" w:lineRule="auto"/>
        <w:rPr>
          <w:rFonts w:eastAsia="Times New Roman" w:cs="Times New Roman"/>
          <w:szCs w:val="24"/>
        </w:rPr>
      </w:pPr>
      <w:r w:rsidRPr="007C0D7C">
        <w:rPr>
          <w:rFonts w:eastAsia="Times New Roman" w:cs="Times New Roman"/>
          <w:szCs w:val="24"/>
        </w:rPr>
        <w:t xml:space="preserve">Keep an eye out for a lunchtime CLE. </w:t>
      </w:r>
      <w:r w:rsidR="003B29EA">
        <w:rPr>
          <w:rFonts w:eastAsia="Times New Roman" w:cs="Times New Roman"/>
          <w:szCs w:val="24"/>
        </w:rPr>
        <w:t xml:space="preserve"> </w:t>
      </w:r>
      <w:bookmarkEnd w:id="0"/>
    </w:p>
    <w:sectPr w:rsidR="00C37FC0" w:rsidRPr="0091239C" w:rsidSect="00C00BE3">
      <w:pgSz w:w="12240" w:h="15840" w:code="1"/>
      <w:pgMar w:top="720" w:right="1008" w:bottom="806" w:left="1008" w:header="720" w:footer="720" w:gutter="0"/>
      <w:pgBorders w:offsetFrom="page">
        <w:top w:val="single" w:sz="12" w:space="24" w:color="5F497A" w:themeColor="accent4" w:themeShade="BF" w:shadow="1"/>
        <w:left w:val="single" w:sz="12" w:space="24" w:color="5F497A" w:themeColor="accent4" w:themeShade="BF" w:shadow="1"/>
        <w:bottom w:val="single" w:sz="12" w:space="24" w:color="5F497A" w:themeColor="accent4" w:themeShade="BF" w:shadow="1"/>
        <w:right w:val="single" w:sz="12" w:space="24" w:color="5F497A" w:themeColor="accent4" w:themeShade="BF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0FA8"/>
    <w:multiLevelType w:val="hybridMultilevel"/>
    <w:tmpl w:val="84ECB470"/>
    <w:lvl w:ilvl="0" w:tplc="D25A5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A8740">
      <w:start w:val="2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21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2C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CC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68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84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EB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0F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263950"/>
    <w:multiLevelType w:val="hybridMultilevel"/>
    <w:tmpl w:val="DE38A2AE"/>
    <w:lvl w:ilvl="0" w:tplc="91D6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84F54">
      <w:start w:val="2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AD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49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C2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88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87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0B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4E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76A0024"/>
    <w:multiLevelType w:val="hybridMultilevel"/>
    <w:tmpl w:val="20B0677E"/>
    <w:lvl w:ilvl="0" w:tplc="EDCA2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058D8">
      <w:start w:val="2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E2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AD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04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01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45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C6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09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7816ECC"/>
    <w:multiLevelType w:val="hybridMultilevel"/>
    <w:tmpl w:val="9BB0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6501E"/>
    <w:multiLevelType w:val="hybridMultilevel"/>
    <w:tmpl w:val="A1F262C8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28"/>
    <w:rsid w:val="00000ED6"/>
    <w:rsid w:val="00025AF0"/>
    <w:rsid w:val="00030FDC"/>
    <w:rsid w:val="00035613"/>
    <w:rsid w:val="00051179"/>
    <w:rsid w:val="000620A1"/>
    <w:rsid w:val="00073BE3"/>
    <w:rsid w:val="00073FE6"/>
    <w:rsid w:val="000775DA"/>
    <w:rsid w:val="00087F49"/>
    <w:rsid w:val="0009580F"/>
    <w:rsid w:val="000A38A9"/>
    <w:rsid w:val="000D17CB"/>
    <w:rsid w:val="000D4CCC"/>
    <w:rsid w:val="000E2520"/>
    <w:rsid w:val="000E7725"/>
    <w:rsid w:val="00115738"/>
    <w:rsid w:val="00133A8E"/>
    <w:rsid w:val="00145EBE"/>
    <w:rsid w:val="00151368"/>
    <w:rsid w:val="00157AA2"/>
    <w:rsid w:val="00186B92"/>
    <w:rsid w:val="0019119D"/>
    <w:rsid w:val="0019708C"/>
    <w:rsid w:val="001A42D9"/>
    <w:rsid w:val="001B07DC"/>
    <w:rsid w:val="001D5A1A"/>
    <w:rsid w:val="001F0A51"/>
    <w:rsid w:val="001F5CB7"/>
    <w:rsid w:val="0020468B"/>
    <w:rsid w:val="002165F7"/>
    <w:rsid w:val="0022732D"/>
    <w:rsid w:val="00260D7B"/>
    <w:rsid w:val="002617AF"/>
    <w:rsid w:val="00283575"/>
    <w:rsid w:val="002C0EF7"/>
    <w:rsid w:val="00302A1C"/>
    <w:rsid w:val="003064E0"/>
    <w:rsid w:val="00316E65"/>
    <w:rsid w:val="003223E5"/>
    <w:rsid w:val="00337C85"/>
    <w:rsid w:val="00344AAA"/>
    <w:rsid w:val="00360365"/>
    <w:rsid w:val="00360D7A"/>
    <w:rsid w:val="0036188B"/>
    <w:rsid w:val="00370110"/>
    <w:rsid w:val="00372FB2"/>
    <w:rsid w:val="00375D3D"/>
    <w:rsid w:val="00391A91"/>
    <w:rsid w:val="003B0995"/>
    <w:rsid w:val="003B29EA"/>
    <w:rsid w:val="003C1655"/>
    <w:rsid w:val="003D1815"/>
    <w:rsid w:val="003E32B9"/>
    <w:rsid w:val="003F1960"/>
    <w:rsid w:val="003F590F"/>
    <w:rsid w:val="004029B0"/>
    <w:rsid w:val="00410549"/>
    <w:rsid w:val="004200C8"/>
    <w:rsid w:val="0043687D"/>
    <w:rsid w:val="00456879"/>
    <w:rsid w:val="00472FCD"/>
    <w:rsid w:val="00474E3B"/>
    <w:rsid w:val="004768E7"/>
    <w:rsid w:val="004829A4"/>
    <w:rsid w:val="00491A5E"/>
    <w:rsid w:val="004923C4"/>
    <w:rsid w:val="004A65AA"/>
    <w:rsid w:val="004B598A"/>
    <w:rsid w:val="004C4FB6"/>
    <w:rsid w:val="00503161"/>
    <w:rsid w:val="005248C6"/>
    <w:rsid w:val="00524CED"/>
    <w:rsid w:val="00526E3D"/>
    <w:rsid w:val="0054209E"/>
    <w:rsid w:val="0055622D"/>
    <w:rsid w:val="00574DCD"/>
    <w:rsid w:val="00583735"/>
    <w:rsid w:val="00584629"/>
    <w:rsid w:val="005A0ACC"/>
    <w:rsid w:val="005A2B5A"/>
    <w:rsid w:val="005A7090"/>
    <w:rsid w:val="005A79DA"/>
    <w:rsid w:val="005C3E6E"/>
    <w:rsid w:val="005C4059"/>
    <w:rsid w:val="005D295D"/>
    <w:rsid w:val="005E5981"/>
    <w:rsid w:val="005F310F"/>
    <w:rsid w:val="006072F1"/>
    <w:rsid w:val="006213CA"/>
    <w:rsid w:val="00642D58"/>
    <w:rsid w:val="00653DED"/>
    <w:rsid w:val="00654016"/>
    <w:rsid w:val="00667219"/>
    <w:rsid w:val="0067258E"/>
    <w:rsid w:val="006A6236"/>
    <w:rsid w:val="006B2B72"/>
    <w:rsid w:val="006B546C"/>
    <w:rsid w:val="006C3F4D"/>
    <w:rsid w:val="006D57DA"/>
    <w:rsid w:val="006E2062"/>
    <w:rsid w:val="00716157"/>
    <w:rsid w:val="00725828"/>
    <w:rsid w:val="007432B0"/>
    <w:rsid w:val="00776374"/>
    <w:rsid w:val="00780247"/>
    <w:rsid w:val="00791B0C"/>
    <w:rsid w:val="00796277"/>
    <w:rsid w:val="007C0882"/>
    <w:rsid w:val="007C0D7C"/>
    <w:rsid w:val="007E633F"/>
    <w:rsid w:val="007E76A2"/>
    <w:rsid w:val="008035E8"/>
    <w:rsid w:val="00814DD2"/>
    <w:rsid w:val="0084228D"/>
    <w:rsid w:val="00853A82"/>
    <w:rsid w:val="00855623"/>
    <w:rsid w:val="008645F7"/>
    <w:rsid w:val="008D6985"/>
    <w:rsid w:val="008E2DF9"/>
    <w:rsid w:val="008F19B6"/>
    <w:rsid w:val="008F457A"/>
    <w:rsid w:val="00904112"/>
    <w:rsid w:val="0091239C"/>
    <w:rsid w:val="00914C06"/>
    <w:rsid w:val="009157B6"/>
    <w:rsid w:val="0092673E"/>
    <w:rsid w:val="009332B6"/>
    <w:rsid w:val="009650CA"/>
    <w:rsid w:val="0096768A"/>
    <w:rsid w:val="00977338"/>
    <w:rsid w:val="00997ACB"/>
    <w:rsid w:val="009C0E5C"/>
    <w:rsid w:val="009C198D"/>
    <w:rsid w:val="009D1167"/>
    <w:rsid w:val="009D1C09"/>
    <w:rsid w:val="009D7673"/>
    <w:rsid w:val="00A06F3D"/>
    <w:rsid w:val="00A12212"/>
    <w:rsid w:val="00A16B26"/>
    <w:rsid w:val="00A4082E"/>
    <w:rsid w:val="00A52E95"/>
    <w:rsid w:val="00A566CA"/>
    <w:rsid w:val="00A56C15"/>
    <w:rsid w:val="00A56E51"/>
    <w:rsid w:val="00A574B5"/>
    <w:rsid w:val="00A7049D"/>
    <w:rsid w:val="00A71A98"/>
    <w:rsid w:val="00A76454"/>
    <w:rsid w:val="00A83804"/>
    <w:rsid w:val="00A84C29"/>
    <w:rsid w:val="00A86AE3"/>
    <w:rsid w:val="00A8789D"/>
    <w:rsid w:val="00A87DB8"/>
    <w:rsid w:val="00AC4492"/>
    <w:rsid w:val="00AC7B45"/>
    <w:rsid w:val="00AD7581"/>
    <w:rsid w:val="00AD7731"/>
    <w:rsid w:val="00AE4678"/>
    <w:rsid w:val="00AE4D8F"/>
    <w:rsid w:val="00AE5625"/>
    <w:rsid w:val="00AF4556"/>
    <w:rsid w:val="00B01DCF"/>
    <w:rsid w:val="00B11BD5"/>
    <w:rsid w:val="00B13EEC"/>
    <w:rsid w:val="00B20366"/>
    <w:rsid w:val="00B258CA"/>
    <w:rsid w:val="00B31B89"/>
    <w:rsid w:val="00B33186"/>
    <w:rsid w:val="00B36338"/>
    <w:rsid w:val="00B678F7"/>
    <w:rsid w:val="00B73CBB"/>
    <w:rsid w:val="00B93BD4"/>
    <w:rsid w:val="00BA69DD"/>
    <w:rsid w:val="00BE067C"/>
    <w:rsid w:val="00BE5521"/>
    <w:rsid w:val="00BF58AA"/>
    <w:rsid w:val="00C00BE3"/>
    <w:rsid w:val="00C37FC0"/>
    <w:rsid w:val="00C55215"/>
    <w:rsid w:val="00C60C11"/>
    <w:rsid w:val="00C62AB5"/>
    <w:rsid w:val="00C91AD9"/>
    <w:rsid w:val="00C93653"/>
    <w:rsid w:val="00C9685B"/>
    <w:rsid w:val="00C975E5"/>
    <w:rsid w:val="00CA238A"/>
    <w:rsid w:val="00CB3155"/>
    <w:rsid w:val="00CC19EE"/>
    <w:rsid w:val="00CD06A6"/>
    <w:rsid w:val="00CD192C"/>
    <w:rsid w:val="00CD32B6"/>
    <w:rsid w:val="00CE1568"/>
    <w:rsid w:val="00D02E92"/>
    <w:rsid w:val="00D24276"/>
    <w:rsid w:val="00D25CEF"/>
    <w:rsid w:val="00D33F32"/>
    <w:rsid w:val="00D3484B"/>
    <w:rsid w:val="00D47365"/>
    <w:rsid w:val="00D52F79"/>
    <w:rsid w:val="00D570ED"/>
    <w:rsid w:val="00D60523"/>
    <w:rsid w:val="00D60AF4"/>
    <w:rsid w:val="00D64E16"/>
    <w:rsid w:val="00D74961"/>
    <w:rsid w:val="00D75D12"/>
    <w:rsid w:val="00D86768"/>
    <w:rsid w:val="00DC0833"/>
    <w:rsid w:val="00DD0293"/>
    <w:rsid w:val="00DD41FD"/>
    <w:rsid w:val="00DE5BFC"/>
    <w:rsid w:val="00E00E4D"/>
    <w:rsid w:val="00E1449B"/>
    <w:rsid w:val="00E176C6"/>
    <w:rsid w:val="00E24034"/>
    <w:rsid w:val="00E25D5B"/>
    <w:rsid w:val="00E4402C"/>
    <w:rsid w:val="00E457CA"/>
    <w:rsid w:val="00E51622"/>
    <w:rsid w:val="00E540AF"/>
    <w:rsid w:val="00E70677"/>
    <w:rsid w:val="00E87C33"/>
    <w:rsid w:val="00EC4434"/>
    <w:rsid w:val="00ED103C"/>
    <w:rsid w:val="00ED16A5"/>
    <w:rsid w:val="00EE1726"/>
    <w:rsid w:val="00EF34AC"/>
    <w:rsid w:val="00F02E53"/>
    <w:rsid w:val="00F135AC"/>
    <w:rsid w:val="00F16475"/>
    <w:rsid w:val="00F24DE5"/>
    <w:rsid w:val="00F403BB"/>
    <w:rsid w:val="00F43951"/>
    <w:rsid w:val="00F450C0"/>
    <w:rsid w:val="00F53393"/>
    <w:rsid w:val="00F65643"/>
    <w:rsid w:val="00F976D9"/>
    <w:rsid w:val="00F97E1F"/>
    <w:rsid w:val="00FA28F5"/>
    <w:rsid w:val="00FD4B12"/>
    <w:rsid w:val="00FE02B9"/>
    <w:rsid w:val="00FE591A"/>
    <w:rsid w:val="00FE67C0"/>
    <w:rsid w:val="00FE6A76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5337"/>
  <w15:docId w15:val="{5815078A-679D-41E2-96CD-857FDB7B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D3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BD4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0D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csnprobono.org/resources-and-training/childrens-attorneys-projec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7A25-C2CD-469B-8F16-09344AF1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djacoby</dc:creator>
  <cp:lastModifiedBy>Amy Honodel</cp:lastModifiedBy>
  <cp:revision>9</cp:revision>
  <cp:lastPrinted>2019-11-26T19:26:00Z</cp:lastPrinted>
  <dcterms:created xsi:type="dcterms:W3CDTF">2020-01-02T06:43:00Z</dcterms:created>
  <dcterms:modified xsi:type="dcterms:W3CDTF">2020-01-05T07:25:00Z</dcterms:modified>
</cp:coreProperties>
</file>